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Transitional Housing Application Instructions</w:t>
      </w:r>
    </w:p>
    <w:p>
      <w:r>
        <w:rPr>
          <w:b w:val="0"/>
        </w:rPr>
        <w:t>This application collects information about your Transitional Housing project, including participants served, exits, employment outcomes, service participation, budget use, and returns to homelessness.</w:t>
      </w:r>
    </w:p>
    <w:p>
      <w:r>
        <w:t>Please complete only the yellow response cells. Other cells are used for formulas, scoring, or labels and should not be edited.</w:t>
      </w:r>
    </w:p>
    <w:p>
      <w:r>
        <w:t>Use the same reporting period throughout the application unless a question says otherwise. Participant counts, exits, employment outcomes, service information, and budget numbers should all come from that same period.</w:t>
      </w:r>
    </w:p>
    <w:p>
      <w:r>
        <w:t>Use agency records whenever possible, such as case notes, exit forms, service logs, attendance records, budget reports, follow-up records, or other documentation.</w:t>
      </w:r>
    </w:p>
    <w:p>
      <w:pPr>
        <w:pStyle w:val="Heading1"/>
      </w:pPr>
      <w:r>
        <w:t>General reminders</w:t>
      </w:r>
    </w:p>
    <w:p>
      <w:pPr>
        <w:pStyle w:val="ListBullet"/>
      </w:pPr>
      <w:r>
        <w:t>A participant is each person served by the project. A household is the group served together. For example, one adult with two children equals 1 household and 3 participants.</w:t>
      </w:r>
    </w:p>
    <w:p>
      <w:pPr>
        <w:pStyle w:val="ListBullet"/>
      </w:pPr>
      <w:r>
        <w:t>An exit means the participant left the project during the reporting period. Do not count people who were still enrolled at the end of the reporting period as exits.</w:t>
      </w:r>
    </w:p>
    <w:p>
      <w:pPr>
        <w:pStyle w:val="ListBullet"/>
      </w:pPr>
      <w:r>
        <w:t>When a question says “Of those…”, only count people from the group named in the previous question. For example, if 30 people exited, the number who exited to permanent housing cannot be more than 30.</w:t>
      </w:r>
    </w:p>
    <w:p>
      <w:pPr>
        <w:pStyle w:val="Heading1"/>
      </w:pPr>
      <w:r>
        <w:t>Exit destinations</w:t>
      </w:r>
    </w:p>
    <w:p>
      <w:pPr>
        <w:pStyle w:val="ListBullet"/>
      </w:pPr>
      <w:r>
        <w:t>A permanent housing destination is housing expected to be stable and ongoing, such as rental housing, owned housing, permanent housing with family or friends, Permanent Supportive Housing, or another long-term permanent housing arrangement.</w:t>
      </w:r>
    </w:p>
    <w:p>
      <w:pPr>
        <w:pStyle w:val="ListBullet"/>
      </w:pPr>
      <w:r>
        <w:t>An unsubsidized permanent housing destination means the participant exited to permanent housing without an ongoing rental subsidy or housing program subsidy tied to the placement.</w:t>
      </w:r>
    </w:p>
    <w:p>
      <w:pPr>
        <w:pStyle w:val="ListBullet"/>
      </w:pPr>
      <w:r>
        <w:t>A non-permanent destination includes temporary, institutional, unknown, missing, or unstable destinations, such as emergency shelter, transitional housing, jail, hospital, treatment facility, temporary hotel/motel, or unknown destination.</w:t>
      </w:r>
    </w:p>
    <w:p>
      <w:pPr>
        <w:pStyle w:val="ListBullet"/>
      </w:pPr>
      <w:r>
        <w:t>A homeless destination includes emergency shelter, the street, a vehicle, an encampment, an abandoned building, or another place not meant for regular sleeping.</w:t>
      </w:r>
    </w:p>
    <w:p>
      <w:pPr>
        <w:pStyle w:val="Heading1"/>
      </w:pPr>
      <w:r>
        <w:t>Employment at exit</w:t>
      </w:r>
    </w:p>
    <w:p>
      <w:pPr>
        <w:pStyle w:val="ListBullet"/>
      </w:pPr>
      <w:r>
        <w:t>Only count adults age 18 or older who exited the project during the reporting period.</w:t>
      </w:r>
    </w:p>
    <w:p>
      <w:pPr>
        <w:pStyle w:val="ListBullet"/>
      </w:pPr>
      <w:r>
        <w:t>Earned income means income from work, such as wages, salary, tips, or self-employment income. Do not count benefits or non-employment income, such as SSI, SSDI, TANF, SNAP, unemployment benefits, pension income, or child support.</w:t>
      </w:r>
    </w:p>
    <w:p>
      <w:pPr>
        <w:pStyle w:val="ListBullet"/>
      </w:pPr>
      <w:r>
        <w:t>Adults may be excluded from the employment calculation if they were age 62 or older, or if they had a physical or developmental disability that prevented them from working. Do not exclude someone only because they were unemployed.</w:t>
      </w:r>
    </w:p>
    <w:p>
      <w:pPr>
        <w:pStyle w:val="Heading1"/>
      </w:pPr>
      <w:r>
        <w:t>Service participation and service intensity</w:t>
      </w:r>
    </w:p>
    <w:p>
      <w:pPr>
        <w:pStyle w:val="ListBullet"/>
      </w:pPr>
      <w:r>
        <w:t>Service participation should be based on your project’s requirements and documentation. Services may include case management, housing navigation, employment support, education support, life skills, benefits assistance, behavioral health referrals, transportation assistance, or other services connected to housing stability.</w:t>
      </w:r>
    </w:p>
    <w:p>
      <w:pPr>
        <w:pStyle w:val="ListBullet"/>
      </w:pPr>
      <w:r>
        <w:t>Only count participation that is documented.</w:t>
      </w:r>
    </w:p>
    <w:p>
      <w:pPr>
        <w:pStyle w:val="ListBullet"/>
      </w:pPr>
      <w:r>
        <w:t>For service intensity, separate participants into full-service participants and reduced-expectation participants.</w:t>
      </w:r>
    </w:p>
    <w:p>
      <w:pPr>
        <w:pStyle w:val="ListBullet"/>
      </w:pPr>
      <w:r>
        <w:t>Full-service participants are expected to meet the regular service/activity standard.</w:t>
      </w:r>
    </w:p>
    <w:p>
      <w:pPr>
        <w:pStyle w:val="ListBullet"/>
      </w:pPr>
      <w:r>
        <w:t>Reduced-expectation participants have an approved and documented reason for a lower service expectation, such as employment, age, disability, medical barriers, behavioral health barriers, or another documented reason.</w:t>
      </w:r>
    </w:p>
    <w:p>
      <w:pPr>
        <w:pStyle w:val="ListBullet"/>
      </w:pPr>
      <w:r>
        <w:t>Do not classify someone as reduced-expectation only because they did not participate.</w:t>
      </w:r>
    </w:p>
    <w:p>
      <w:pPr>
        <w:pStyle w:val="Heading1"/>
      </w:pPr>
      <w:r>
        <w:t>Cost effectiveness and budget use</w:t>
      </w:r>
    </w:p>
    <w:p>
      <w:pPr>
        <w:pStyle w:val="ListBullet"/>
      </w:pPr>
      <w:r>
        <w:t>The total project budget is the full approved budget for the reporting period. The amount spent is the amount actually spent during the same period.</w:t>
      </w:r>
    </w:p>
    <w:p>
      <w:pPr>
        <w:pStyle w:val="ListBullet"/>
      </w:pPr>
      <w:r>
        <w:t>The application also asks how many households and individuals the project expected to serve and how many were actually served.</w:t>
      </w:r>
    </w:p>
    <w:p>
      <w:pPr>
        <w:pStyle w:val="ListBullet"/>
      </w:pPr>
      <w:r>
        <w:t>Average nightly occupancy means the average number of beds filled each night. Average beds available each night means the average number of beds the project had available each night.</w:t>
      </w:r>
    </w:p>
    <w:p>
      <w:pPr>
        <w:pStyle w:val="ListBullet"/>
      </w:pPr>
      <w:r>
        <w:t>Example: if the project had 10 beds available and usually had 8 filled, average nightly occupancy is 8 and average beds available is 10.</w:t>
      </w:r>
    </w:p>
    <w:p>
      <w:pPr>
        <w:pStyle w:val="Heading1"/>
      </w:pPr>
      <w:r>
        <w:t>Length of stay and housing stability</w:t>
      </w:r>
    </w:p>
    <w:p>
      <w:pPr>
        <w:pStyle w:val="ListBullet"/>
      </w:pPr>
      <w:r>
        <w:t>This section looks at participants who exited to unsubsidized permanent housing and how long they were in the project before exit.</w:t>
      </w:r>
    </w:p>
    <w:p>
      <w:pPr>
        <w:pStyle w:val="ListBullet"/>
      </w:pPr>
      <w:r>
        <w:t>Use the participant’s project entry date and exit date. Do not count the same participant in more than one category.</w:t>
      </w:r>
    </w:p>
    <w:p>
      <w:pPr>
        <w:pStyle w:val="ListBullet"/>
      </w:pPr>
      <w:r>
        <w:t>Exited after 5 months = within 6 months; exited after 9 months = 6 to 12 months; exited after 18 months = 12 to 24 months.</w:t>
      </w:r>
    </w:p>
    <w:p>
      <w:pPr>
        <w:pStyle w:val="ListBullet"/>
      </w:pPr>
      <w:r>
        <w:t>Only include participants who exited to unsubsidized permanent housing.</w:t>
      </w:r>
    </w:p>
    <w:p>
      <w:pPr>
        <w:pStyle w:val="Heading1"/>
      </w:pPr>
      <w:r>
        <w:t>Returns to homelessness</w:t>
      </w:r>
    </w:p>
    <w:p>
      <w:pPr>
        <w:pStyle w:val="ListBullet"/>
      </w:pPr>
      <w:r>
        <w:t>This section asks whether people who exited to unsubsidized permanent housing later returned to homelessness. Only include people who exited to unsubsidized permanent housing.</w:t>
      </w:r>
    </w:p>
    <w:p>
      <w:pPr>
        <w:pStyle w:val="ListBullet"/>
      </w:pPr>
      <w:r>
        <w:t>The application uses two follow-up groups: people with at least 12 months but less than 24 months of follow-up after exit, and people with at least 24 months of follow-up after exit. Do not count the same person in both groups.</w:t>
      </w:r>
    </w:p>
    <w:p>
      <w:pPr>
        <w:pStyle w:val="ListBullet"/>
      </w:pPr>
      <w:r>
        <w:t>A return to homelessness may include a later return to emergency shelter, unsheltered homelessness, street outreach, a place not meant for habitation, or another documented homeless situation.</w:t>
      </w:r>
    </w:p>
    <w:p>
      <w:pPr>
        <w:pStyle w:val="ListBullet"/>
      </w:pPr>
      <w:r>
        <w:t>Use the best records available, such as follow-up case notes, shelter records, outreach records, Coordinated Entry records, HMIS information if available, participant contact, or partner agency confirmation.</w:t>
      </w:r>
    </w:p>
    <w:p>
      <w:pPr>
        <w:pStyle w:val="Heading1"/>
      </w:pPr>
      <w:r>
        <w:t>Documentation and verification</w:t>
      </w:r>
    </w:p>
    <w:p>
      <w:pPr>
        <w:pStyle w:val="ListBullet"/>
      </w:pPr>
      <w:r>
        <w:t>Several questions ask how your agency verifies the numbers entered. These responses should describe the actual records or process used.</w:t>
      </w:r>
    </w:p>
    <w:p>
      <w:pPr>
        <w:pStyle w:val="ListBullet"/>
      </w:pPr>
      <w:r>
        <w:t>Examples include case notes, exit forms, housing placement records, lease or move-in documentation, employment verification, service logs, attendance records, budget reports, general ledger reports, follow-up notes, shelter or outreach records, and partner agency confirmation.</w:t>
      </w:r>
    </w:p>
    <w:p>
      <w:pPr>
        <w:pStyle w:val="ListBullet"/>
      </w:pPr>
      <w:r>
        <w:t>A strong response should explain the process, not just name the document.</w:t>
      </w:r>
    </w:p>
    <w:p>
      <w:pPr>
        <w:pStyle w:val="Heading1"/>
      </w:pPr>
      <w:r>
        <w:t>Before submitting</w:t>
      </w:r>
    </w:p>
    <w:p>
      <w:pPr>
        <w:pStyle w:val="ListBullet"/>
      </w:pPr>
      <w:r>
        <w:t>All yellow response cells are completed.</w:t>
      </w:r>
    </w:p>
    <w:p>
      <w:pPr>
        <w:pStyle w:val="ListBullet"/>
      </w:pPr>
      <w:r>
        <w:t>The same reporting period is used throughout.</w:t>
      </w:r>
    </w:p>
    <w:p>
      <w:pPr>
        <w:pStyle w:val="ListBullet"/>
      </w:pPr>
      <w:r>
        <w:t>Participant and household counts are not mixed together.</w:t>
      </w:r>
    </w:p>
    <w:p>
      <w:pPr>
        <w:pStyle w:val="ListBullet"/>
      </w:pPr>
      <w:r>
        <w:t>“Of those” responses do not exceed the previous total.</w:t>
      </w:r>
    </w:p>
    <w:p>
      <w:pPr>
        <w:pStyle w:val="ListBullet"/>
      </w:pPr>
      <w:r>
        <w:t>Active participants are not counted as exits.</w:t>
      </w:r>
    </w:p>
    <w:p>
      <w:pPr>
        <w:pStyle w:val="ListBullet"/>
      </w:pPr>
      <w:r>
        <w:t>Employment exclusions are documented.</w:t>
      </w:r>
    </w:p>
    <w:p>
      <w:pPr>
        <w:pStyle w:val="ListBullet"/>
      </w:pPr>
      <w:r>
        <w:t>Service and return-to-homelessness responses are supported by records.</w:t>
      </w:r>
    </w:p>
    <w:p>
      <w:pPr>
        <w:pStyle w:val="ListBullet"/>
      </w:pPr>
      <w:r>
        <w:t>The certification section is complete.</w:t>
      </w:r>
    </w:p>
    <w:p>
      <w:pPr>
        <w:pStyle w:val="Heading1"/>
      </w:pPr>
      <w:r>
        <w:t>Questions</w:t>
      </w:r>
    </w:p>
    <w:tbl>
      <w:tblPr>
        <w:tblStyle w:val="TableGrid"/>
        <w:tblW w:type="auto" w:w="0"/>
        <w:tblLook w:firstColumn="1" w:firstRow="1" w:lastColumn="0" w:lastRow="0" w:noHBand="0" w:noVBand="1" w:val="04A0"/>
      </w:tblPr>
      <w:tblGrid>
        <w:gridCol w:w="4968"/>
        <w:gridCol w:w="4968"/>
      </w:tblGrid>
      <w:tr>
        <w:tc>
          <w:tcPr>
            <w:tcW w:type="dxa" w:w="4968"/>
          </w:tcPr>
          <w:p>
            <w:r>
              <w:rPr>
                <w:b/>
              </w:rPr>
              <w:t>Name</w:t>
            </w:r>
          </w:p>
        </w:tc>
        <w:tc>
          <w:tcPr>
            <w:tcW w:type="dxa" w:w="4968"/>
          </w:tcPr>
          <w:p>
            <w:r>
              <w:t>[Insert Name]</w:t>
            </w:r>
          </w:p>
        </w:tc>
      </w:tr>
      <w:tr>
        <w:tc>
          <w:tcPr>
            <w:tcW w:type="dxa" w:w="4968"/>
          </w:tcPr>
          <w:p>
            <w:r>
              <w:rPr>
                <w:b/>
              </w:rPr>
              <w:t>Email</w:t>
            </w:r>
          </w:p>
        </w:tc>
        <w:tc>
          <w:tcPr>
            <w:tcW w:type="dxa" w:w="4968"/>
          </w:tcPr>
          <w:p>
            <w:r>
              <w:t>[Insert Email]</w:t>
            </w:r>
          </w:p>
        </w:tc>
      </w:tr>
      <w:tr>
        <w:tc>
          <w:tcPr>
            <w:tcW w:type="dxa" w:w="4968"/>
          </w:tcPr>
          <w:p>
            <w:r>
              <w:rPr>
                <w:b/>
              </w:rPr>
              <w:t>Phone</w:t>
            </w:r>
          </w:p>
        </w:tc>
        <w:tc>
          <w:tcPr>
            <w:tcW w:type="dxa" w:w="4968"/>
          </w:tcPr>
          <w:p>
            <w:r>
              <w:t>[Insert Phone]</w:t>
            </w:r>
          </w:p>
        </w:tc>
      </w:tr>
      <w:tr>
        <w:tc>
          <w:tcPr>
            <w:tcW w:type="dxa" w:w="4968"/>
          </w:tcPr>
          <w:p>
            <w:r>
              <w:rPr>
                <w:b/>
              </w:rPr>
              <w:t>Submission Deadline</w:t>
            </w:r>
          </w:p>
        </w:tc>
        <w:tc>
          <w:tcPr>
            <w:tcW w:type="dxa" w:w="4968"/>
          </w:tcPr>
          <w:p>
            <w:r>
              <w:t>[Insert Submission Deadline]</w:t>
            </w:r>
          </w:p>
        </w:tc>
      </w:tr>
      <w:tr>
        <w:tc>
          <w:tcPr>
            <w:tcW w:type="dxa" w:w="4968"/>
          </w:tcPr>
          <w:p>
            <w:r>
              <w:rPr>
                <w:b/>
              </w:rPr>
              <w:t>Submission Instructions</w:t>
            </w:r>
          </w:p>
        </w:tc>
        <w:tc>
          <w:tcPr>
            <w:tcW w:type="dxa" w:w="4968"/>
          </w:tcPr>
          <w:p>
            <w:r>
              <w:t>[Insert Submission Instructions]</w:t>
            </w:r>
          </w:p>
        </w:tc>
      </w:tr>
    </w:tbl>
    <w:sectPr w:rsidR="00FC693F" w:rsidRPr="0006063C" w:rsidSect="00034616">
      <w:footerReference w:type="default" r:id="rId9"/>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Transitional Housing Application Instructions</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2" w:lineRule="auto"/>
    </w:pPr>
    <w:rPr>
      <w:rFonts w:ascii="Aptos" w:hAnsi="Aptos" w:eastAsia="Aptos"/>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Aptos" w:hAnsi="Aptos" w:eastAsia="Aptos"/>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160" w:after="40"/>
      <w:outlineLvl w:val="1"/>
    </w:pPr>
    <w:rPr>
      <w:rFonts w:asciiTheme="majorHAnsi" w:eastAsiaTheme="majorEastAsia" w:hAnsiTheme="majorHAnsi" w:cstheme="majorBidi" w:ascii="Aptos" w:hAnsi="Aptos" w:eastAsia="Aptos"/>
      <w:b/>
      <w:bCs/>
      <w:color w:val="4F81BD" w:themeColor="accent1"/>
      <w:sz w:val="23"/>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eastAsia="Aptos Display"/>
      <w:color w:val="17365D" w:themeColor="text2" w:themeShade="BF"/>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